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E060" w14:textId="77777777" w:rsidR="00BB5A93" w:rsidRDefault="00BB5A93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</w:p>
    <w:p w14:paraId="74E78D82" w14:textId="30BAE31F" w:rsidR="008B7FF5" w:rsidRPr="008B7FF5" w:rsidRDefault="00BB5A93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  <w:r>
        <w:rPr>
          <w:rFonts w:ascii="Arial" w:hAnsi="Arial" w:cs="Arial"/>
          <w:color w:val="7030A0"/>
          <w:spacing w:val="20"/>
          <w:sz w:val="52"/>
          <w:szCs w:val="52"/>
        </w:rPr>
        <w:t>Auditorías</w:t>
      </w:r>
    </w:p>
    <w:p w14:paraId="722CB0D4" w14:textId="77777777" w:rsidR="00334FA5" w:rsidRDefault="00334FA5" w:rsidP="00E465A8">
      <w:pPr>
        <w:rPr>
          <w:rFonts w:ascii="Arial" w:hAnsi="Arial" w:cs="Arial"/>
          <w:b/>
          <w:bCs/>
          <w:sz w:val="30"/>
          <w:szCs w:val="30"/>
        </w:rPr>
      </w:pPr>
    </w:p>
    <w:p w14:paraId="34398124" w14:textId="5E9E234E" w:rsidR="00BB5A93" w:rsidRDefault="00BB5A93" w:rsidP="00BB5A93">
      <w:pPr>
        <w:rPr>
          <w:rFonts w:ascii="Arial" w:hAnsi="Arial" w:cs="Arial"/>
          <w:sz w:val="30"/>
          <w:szCs w:val="30"/>
        </w:rPr>
      </w:pPr>
      <w:r w:rsidRPr="00BB5A93">
        <w:rPr>
          <w:rFonts w:ascii="Arial" w:hAnsi="Arial" w:cs="Arial"/>
          <w:sz w:val="30"/>
          <w:szCs w:val="30"/>
        </w:rPr>
        <w:t xml:space="preserve">Según los criterios que determinan esta obligación de auditorías, </w:t>
      </w:r>
      <w:r w:rsidRPr="00BA1355">
        <w:rPr>
          <w:rFonts w:ascii="Arial" w:hAnsi="Arial" w:cs="Arial"/>
          <w:b/>
          <w:bCs/>
          <w:sz w:val="30"/>
          <w:szCs w:val="30"/>
        </w:rPr>
        <w:t>Talent Digital no está obligada a auditar sus cuentas</w:t>
      </w:r>
      <w:r w:rsidRPr="00BB5A93">
        <w:rPr>
          <w:rFonts w:ascii="Arial" w:hAnsi="Arial" w:cs="Arial"/>
          <w:sz w:val="30"/>
          <w:szCs w:val="30"/>
        </w:rPr>
        <w:t>. Estos criterios establecen que se cumplan, durante dos ejercicios continuados, dos de los tres requisitos que se indican a continuación: </w:t>
      </w:r>
    </w:p>
    <w:p w14:paraId="73BD40CC" w14:textId="77777777" w:rsidR="00BB5A93" w:rsidRDefault="00BB5A93" w:rsidP="00BB5A93">
      <w:pPr>
        <w:rPr>
          <w:rFonts w:ascii="Arial" w:hAnsi="Arial" w:cs="Arial"/>
          <w:sz w:val="30"/>
          <w:szCs w:val="30"/>
        </w:rPr>
      </w:pPr>
    </w:p>
    <w:p w14:paraId="1D1C0212" w14:textId="77777777" w:rsidR="00BB5A93" w:rsidRPr="00BB5A93" w:rsidRDefault="00BB5A93" w:rsidP="00BB5A93">
      <w:pPr>
        <w:pStyle w:val="Prrafodelista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 w:rsidRPr="00BB5A93">
        <w:rPr>
          <w:rFonts w:ascii="Arial" w:hAnsi="Arial" w:cs="Arial"/>
          <w:sz w:val="30"/>
          <w:szCs w:val="30"/>
        </w:rPr>
        <w:t>Importe de la cifra de negocio superior a los 5.700.00,00 euros. </w:t>
      </w:r>
    </w:p>
    <w:p w14:paraId="568824A9" w14:textId="77777777" w:rsidR="00BB5A93" w:rsidRPr="00BB5A93" w:rsidRDefault="00BB5A93" w:rsidP="00BB5A93">
      <w:pPr>
        <w:pStyle w:val="Prrafodelista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proofErr w:type="gramStart"/>
      <w:r w:rsidRPr="00BB5A93">
        <w:rPr>
          <w:rFonts w:ascii="Arial" w:hAnsi="Arial" w:cs="Arial"/>
          <w:sz w:val="30"/>
          <w:szCs w:val="30"/>
        </w:rPr>
        <w:t>Total</w:t>
      </w:r>
      <w:proofErr w:type="gramEnd"/>
      <w:r w:rsidRPr="00BB5A93">
        <w:rPr>
          <w:rFonts w:ascii="Arial" w:hAnsi="Arial" w:cs="Arial"/>
          <w:sz w:val="30"/>
          <w:szCs w:val="30"/>
        </w:rPr>
        <w:t xml:space="preserve"> de activos superior a 2.850.00,00 euros. </w:t>
      </w:r>
    </w:p>
    <w:p w14:paraId="3FF3431B" w14:textId="3E6BCDAB" w:rsidR="00BB5A93" w:rsidRDefault="00BB5A93" w:rsidP="00BB5A93">
      <w:pPr>
        <w:pStyle w:val="Prrafodelista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 w:rsidRPr="00BB5A93">
        <w:rPr>
          <w:rFonts w:ascii="Arial" w:hAnsi="Arial" w:cs="Arial"/>
          <w:sz w:val="30"/>
          <w:szCs w:val="30"/>
        </w:rPr>
        <w:t>Número medio de trabajadores durante el ejercicio superior a 50. </w:t>
      </w:r>
    </w:p>
    <w:p w14:paraId="48BDE0D4" w14:textId="77777777" w:rsidR="00BB5A93" w:rsidRPr="00BB5A93" w:rsidRDefault="00BB5A93" w:rsidP="00BB5A93">
      <w:pPr>
        <w:pStyle w:val="Prrafodelista"/>
        <w:rPr>
          <w:rFonts w:ascii="Arial" w:hAnsi="Arial" w:cs="Arial"/>
          <w:sz w:val="30"/>
          <w:szCs w:val="30"/>
        </w:rPr>
      </w:pPr>
    </w:p>
    <w:p w14:paraId="7262493C" w14:textId="16EF5816" w:rsidR="00BB5A93" w:rsidRDefault="00BB5A93" w:rsidP="00BB5A93">
      <w:pPr>
        <w:rPr>
          <w:rFonts w:ascii="Arial" w:hAnsi="Arial" w:cs="Arial"/>
          <w:sz w:val="30"/>
          <w:szCs w:val="30"/>
        </w:rPr>
      </w:pPr>
      <w:r w:rsidRPr="00BB5A93">
        <w:rPr>
          <w:rFonts w:ascii="Arial" w:hAnsi="Arial" w:cs="Arial"/>
          <w:sz w:val="30"/>
          <w:szCs w:val="30"/>
        </w:rPr>
        <w:t xml:space="preserve">Además, existen otros criterios que obligan a las empresas a auditar sus cuentas. Se trata de criterios recogidos en el </w:t>
      </w:r>
      <w:hyperlink r:id="rId7" w:tgtFrame="_blank" w:history="1">
        <w:r w:rsidRPr="00BB5A93">
          <w:rPr>
            <w:rStyle w:val="Hipervnculo"/>
            <w:rFonts w:ascii="Arial" w:hAnsi="Arial" w:cs="Arial"/>
            <w:sz w:val="30"/>
            <w:szCs w:val="30"/>
          </w:rPr>
          <w:t>Real Decreto 1517/2011</w:t>
        </w:r>
      </w:hyperlink>
      <w:r w:rsidRPr="00BB5A93">
        <w:rPr>
          <w:rFonts w:ascii="Arial" w:hAnsi="Arial" w:cs="Arial"/>
          <w:sz w:val="30"/>
          <w:szCs w:val="30"/>
        </w:rPr>
        <w:t xml:space="preserve"> y son los que a continuación se indican: </w:t>
      </w:r>
    </w:p>
    <w:p w14:paraId="3FA06840" w14:textId="77777777" w:rsidR="00BB5A93" w:rsidRPr="00BB5A93" w:rsidRDefault="00BB5A93" w:rsidP="00BB5A93">
      <w:pPr>
        <w:rPr>
          <w:rFonts w:ascii="Arial" w:hAnsi="Arial" w:cs="Arial"/>
          <w:sz w:val="30"/>
          <w:szCs w:val="30"/>
        </w:rPr>
      </w:pPr>
    </w:p>
    <w:p w14:paraId="07CC36FF" w14:textId="77777777" w:rsidR="00BB5A93" w:rsidRPr="00BB5A93" w:rsidRDefault="00BB5A93" w:rsidP="00BB5A93">
      <w:pPr>
        <w:numPr>
          <w:ilvl w:val="1"/>
          <w:numId w:val="11"/>
        </w:numPr>
        <w:rPr>
          <w:rFonts w:ascii="Arial" w:hAnsi="Arial" w:cs="Arial"/>
          <w:sz w:val="30"/>
          <w:szCs w:val="30"/>
        </w:rPr>
      </w:pPr>
      <w:proofErr w:type="gramStart"/>
      <w:r w:rsidRPr="00BB5A93">
        <w:rPr>
          <w:rFonts w:ascii="Arial" w:hAnsi="Arial" w:cs="Arial"/>
          <w:sz w:val="30"/>
          <w:szCs w:val="30"/>
        </w:rPr>
        <w:t>Que</w:t>
      </w:r>
      <w:proofErr w:type="gramEnd"/>
      <w:r w:rsidRPr="00BB5A93">
        <w:rPr>
          <w:rFonts w:ascii="Arial" w:hAnsi="Arial" w:cs="Arial"/>
          <w:sz w:val="30"/>
          <w:szCs w:val="30"/>
        </w:rPr>
        <w:t xml:space="preserve"> durante el ejercicio, la organización reciba con cargo a los presupuestos de los fondos de la Unión Europea o de las Administraciones Públicas, subvenciones o ayudas por un importe acumulado de 600.000,00 euros. </w:t>
      </w:r>
    </w:p>
    <w:p w14:paraId="40667CA6" w14:textId="77777777" w:rsidR="00BB5A93" w:rsidRPr="00BB5A93" w:rsidRDefault="00BB5A93" w:rsidP="00BB5A93">
      <w:pPr>
        <w:numPr>
          <w:ilvl w:val="1"/>
          <w:numId w:val="11"/>
        </w:numPr>
        <w:rPr>
          <w:rFonts w:ascii="Arial" w:hAnsi="Arial" w:cs="Arial"/>
          <w:sz w:val="30"/>
          <w:szCs w:val="30"/>
        </w:rPr>
      </w:pPr>
      <w:r w:rsidRPr="00BB5A93">
        <w:rPr>
          <w:rFonts w:ascii="Arial" w:hAnsi="Arial" w:cs="Arial"/>
          <w:sz w:val="30"/>
          <w:szCs w:val="30"/>
        </w:rPr>
        <w:t xml:space="preserve">Que durante el ejercicio la compañía realice contratos con Administraciones Públicas que sobrepasen los 600.000,00 euros y estos supongan más del 50% de la cifra de negocio de la empresa. </w:t>
      </w:r>
    </w:p>
    <w:p w14:paraId="22CA642E" w14:textId="3B2C7962" w:rsidR="00314060" w:rsidRPr="00E465A8" w:rsidRDefault="00314060" w:rsidP="00BB5A93">
      <w:pPr>
        <w:rPr>
          <w:rFonts w:ascii="Arial" w:hAnsi="Arial" w:cs="Arial"/>
          <w:sz w:val="30"/>
          <w:szCs w:val="30"/>
        </w:rPr>
      </w:pPr>
    </w:p>
    <w:sectPr w:rsidR="00314060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D934" w14:textId="77777777" w:rsidR="00713A6F" w:rsidRDefault="00713A6F" w:rsidP="00D115A2">
      <w:r>
        <w:separator/>
      </w:r>
    </w:p>
  </w:endnote>
  <w:endnote w:type="continuationSeparator" w:id="0">
    <w:p w14:paraId="42D8395A" w14:textId="77777777" w:rsidR="00713A6F" w:rsidRDefault="00713A6F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CE1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79470" wp14:editId="1FE64689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BB77F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610FAEB5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31AE2DB9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5954" w14:textId="77777777" w:rsidR="00713A6F" w:rsidRDefault="00713A6F" w:rsidP="00D115A2">
      <w:r>
        <w:separator/>
      </w:r>
    </w:p>
  </w:footnote>
  <w:footnote w:type="continuationSeparator" w:id="0">
    <w:p w14:paraId="1079F87D" w14:textId="77777777" w:rsidR="00713A6F" w:rsidRDefault="00713A6F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C8C6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71480" wp14:editId="1DFA6092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503"/>
    <w:multiLevelType w:val="multilevel"/>
    <w:tmpl w:val="342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1CC6"/>
    <w:multiLevelType w:val="multilevel"/>
    <w:tmpl w:val="0D9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F14F4"/>
    <w:multiLevelType w:val="hybridMultilevel"/>
    <w:tmpl w:val="F8C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8"/>
  </w:num>
  <w:num w:numId="6" w16cid:durableId="706757958">
    <w:abstractNumId w:val="0"/>
  </w:num>
  <w:num w:numId="7" w16cid:durableId="1123037414">
    <w:abstractNumId w:val="11"/>
  </w:num>
  <w:num w:numId="8" w16cid:durableId="543717718">
    <w:abstractNumId w:val="6"/>
  </w:num>
  <w:num w:numId="9" w16cid:durableId="1015305857">
    <w:abstractNumId w:val="7"/>
  </w:num>
  <w:num w:numId="10" w16cid:durableId="1528057527">
    <w:abstractNumId w:val="5"/>
  </w:num>
  <w:num w:numId="11" w16cid:durableId="100035221">
    <w:abstractNumId w:val="9"/>
  </w:num>
  <w:num w:numId="12" w16cid:durableId="1853062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93"/>
    <w:rsid w:val="000A4BE3"/>
    <w:rsid w:val="000F5430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647A"/>
    <w:rsid w:val="00314060"/>
    <w:rsid w:val="00334FA5"/>
    <w:rsid w:val="004B66D2"/>
    <w:rsid w:val="004C611C"/>
    <w:rsid w:val="004F10A1"/>
    <w:rsid w:val="00544260"/>
    <w:rsid w:val="005912AA"/>
    <w:rsid w:val="005B16BE"/>
    <w:rsid w:val="006060C9"/>
    <w:rsid w:val="00654F91"/>
    <w:rsid w:val="00713A6F"/>
    <w:rsid w:val="007D141B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9E7964"/>
    <w:rsid w:val="00A33CEE"/>
    <w:rsid w:val="00B60923"/>
    <w:rsid w:val="00BA0F50"/>
    <w:rsid w:val="00BA1355"/>
    <w:rsid w:val="00BB5A93"/>
    <w:rsid w:val="00BF06D3"/>
    <w:rsid w:val="00C4047D"/>
    <w:rsid w:val="00C902F3"/>
    <w:rsid w:val="00CA3AAA"/>
    <w:rsid w:val="00CB5729"/>
    <w:rsid w:val="00D115A2"/>
    <w:rsid w:val="00D95827"/>
    <w:rsid w:val="00E27162"/>
    <w:rsid w:val="00E465A8"/>
    <w:rsid w:val="00E8592B"/>
    <w:rsid w:val="00ED5900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3188F"/>
  <w14:defaultImageDpi w14:val="32767"/>
  <w15:chartTrackingRefBased/>
  <w15:docId w15:val="{BE4D6ED4-C65F-D740-9F49-0CB9FB2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e.es/buscar/doc.php?id=BOE-A-2011-17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Li&#769;nea%20Covid%20de%20ayudas%20directas%20a%20personas%20auto&#769;nomas%20y%20Empresa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Línea Covid de ayudas directas a personas autónomas y Empresas .dotx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2</cp:revision>
  <cp:lastPrinted>2020-06-15T13:30:00Z</cp:lastPrinted>
  <dcterms:created xsi:type="dcterms:W3CDTF">2022-06-30T08:45:00Z</dcterms:created>
  <dcterms:modified xsi:type="dcterms:W3CDTF">2022-10-09T18:43:00Z</dcterms:modified>
</cp:coreProperties>
</file>